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GA 10,50 €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Hühnerfleisch, Zitronengras, Erdnüssen,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Salat, Vietnamesischen Kräutern dazu spezielle Viet Village Soße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Panierter Lachs mit Salat 11,90 €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Panierter Lachs mit Teriyaki Soße dazu Duftreis, Avocado, Salat und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Fisch-limette-Soße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